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1388" w14:textId="77777777" w:rsidR="00B748A0" w:rsidRPr="00A51F8B" w:rsidRDefault="00764FCB" w:rsidP="006D628A">
      <w:pPr>
        <w:spacing w:line="360" w:lineRule="auto"/>
      </w:pPr>
      <w:r w:rsidRPr="00A51F8B">
        <w:t>All Weather Insulated Panels</w:t>
      </w:r>
    </w:p>
    <w:p w14:paraId="74920FF6" w14:textId="45967A13" w:rsidR="00764FCB" w:rsidRDefault="00117880" w:rsidP="006D628A">
      <w:pPr>
        <w:spacing w:line="360" w:lineRule="auto"/>
      </w:pPr>
      <w:r>
        <w:t>DM44</w:t>
      </w:r>
      <w:r w:rsidR="00764FCB" w:rsidRPr="00A51F8B">
        <w:t xml:space="preserve"> Double Mesa Wall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B134DAA"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36BEED03" w:rsidR="00C20437" w:rsidRDefault="00C20437" w:rsidP="006D628A">
      <w:pPr>
        <w:pStyle w:val="PR1"/>
        <w:tabs>
          <w:tab w:val="clear" w:pos="864"/>
          <w:tab w:val="num" w:pos="846"/>
        </w:tabs>
        <w:ind w:left="846"/>
        <w:jc w:val="left"/>
      </w:pPr>
      <w:r>
        <w:t xml:space="preserve">Substitutions:     This specification is written with the </w:t>
      </w:r>
      <w:r w:rsidR="00117880">
        <w:t>DM44</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t>DELIVERY, STORAGE, AND HANDLING</w:t>
      </w:r>
    </w:p>
    <w:p w14:paraId="0068B9D0"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7AD51C05"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 xml:space="preserve">[L/120] (Interior Partitions) </w:t>
      </w:r>
    </w:p>
    <w:p w14:paraId="2BB04C49" w14:textId="0DCDB016" w:rsidR="00722EFB" w:rsidRDefault="00722EFB" w:rsidP="00722EFB">
      <w:pPr>
        <w:pStyle w:val="PR1"/>
      </w:pPr>
      <w:r>
        <w:t>Thermal Performance:  Provide metal panel assemblies meeting specified insulation value as determined by ASTM C518 steady state thermal transmission or ASTM C1363 hot box test method</w:t>
      </w:r>
    </w:p>
    <w:p w14:paraId="256B5EB8" w14:textId="50A8E7E5" w:rsidR="00722EFB" w:rsidRDefault="00722EFB" w:rsidP="00722EFB">
      <w:pPr>
        <w:pStyle w:val="PR2"/>
      </w:pPr>
      <w:r>
        <w:t xml:space="preserve">Aged K-factor shall not exceed .14 at </w:t>
      </w:r>
      <w:proofErr w:type="gramStart"/>
      <w:r>
        <w:t>75 degree</w:t>
      </w:r>
      <w:proofErr w:type="gramEnd"/>
      <w:r>
        <w:t xml:space="preserve"> mean temperature or .13 at </w:t>
      </w:r>
      <w:r w:rsidR="00FA4D47">
        <w:t>35</w:t>
      </w:r>
      <w:r>
        <w:t xml:space="preserve"> degree F mean temperature.</w:t>
      </w:r>
    </w:p>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t>Surface-Burning Characteristics: The foam core shall be tested per ASTM E84. The core shall have:</w:t>
      </w:r>
    </w:p>
    <w:p w14:paraId="56AA26B7" w14:textId="77777777" w:rsidR="004322C7" w:rsidRDefault="004322C7" w:rsidP="004322C7">
      <w:pPr>
        <w:pStyle w:val="PR3"/>
      </w:pPr>
      <w:r>
        <w:lastRenderedPageBreak/>
        <w:t>Flame Spread Index: 25 or less</w:t>
      </w:r>
    </w:p>
    <w:p w14:paraId="589C142B" w14:textId="77777777" w:rsidR="004322C7" w:rsidRDefault="004322C7" w:rsidP="004322C7">
      <w:pPr>
        <w:pStyle w:val="PR3"/>
      </w:pPr>
      <w:r>
        <w:t>Smoke Developed Index: 450 or less</w:t>
      </w:r>
    </w:p>
    <w:p w14:paraId="76BE9FB7"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to the full scale FM 4880 test program with no height restriction.</w:t>
      </w:r>
      <w:r>
        <w:br/>
      </w:r>
    </w:p>
    <w:p w14:paraId="0A02377B" w14:textId="77777777" w:rsidR="004322C7" w:rsidRDefault="004322C7" w:rsidP="004322C7">
      <w:pPr>
        <w:pStyle w:val="PR2"/>
        <w:jc w:val="left"/>
      </w:pPr>
      <w:r>
        <w:t xml:space="preserve">Fire Propagation: The wall panels shall be tested for fire propagation on exterior wall assemblies per NFPA 285. </w:t>
      </w:r>
      <w:r>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D61CF3">
        <w:t xml:space="preserve">butyl </w:t>
      </w:r>
      <w:r>
        <w:t>gun grade sealant shall be applied in the female side at the panel joint prior to engagement as shown on the panel shop/erection drawings.</w:t>
      </w:r>
    </w:p>
    <w:p w14:paraId="28C22F36" w14:textId="156FD7DA" w:rsidR="00E578E0" w:rsidRDefault="00596AB1" w:rsidP="00E578E0">
      <w:pPr>
        <w:pStyle w:val="PR3"/>
      </w:pPr>
      <w:r>
        <w:t>Basis of Design</w:t>
      </w:r>
      <w:r w:rsidR="005B1FB4">
        <w:t xml:space="preserve">: All Weather Insulated Panels, </w:t>
      </w:r>
      <w:r w:rsidR="00117880">
        <w:t>DM44</w:t>
      </w:r>
      <w:r w:rsidR="005B1FB4">
        <w:t>.</w:t>
      </w:r>
    </w:p>
    <w:p w14:paraId="3C99FEC3" w14:textId="77777777" w:rsidR="004F6B35" w:rsidRDefault="004F6B35" w:rsidP="006D628A">
      <w:pPr>
        <w:pStyle w:val="PR2"/>
        <w:jc w:val="left"/>
      </w:pPr>
      <w:r>
        <w:lastRenderedPageBreak/>
        <w:t>Provide insulated metal panel with minimum R Value: [</w:t>
      </w:r>
      <w:r>
        <w:rPr>
          <w:b/>
        </w:rPr>
        <w:t>insert R Value] [minimum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0C609276" w:rsidR="00D31E51" w:rsidRPr="00E578E0" w:rsidRDefault="00D31E51" w:rsidP="00D31E51">
      <w:pPr>
        <w:pStyle w:val="PR3"/>
      </w:pPr>
      <w:r>
        <w:t xml:space="preserve">Finish: </w:t>
      </w:r>
      <w:r w:rsidR="004C37C7" w:rsidRPr="004C37C7">
        <w:rPr>
          <w:b/>
        </w:rPr>
        <w:t xml:space="preserve">[Polyester Two-Coat System] </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610D61D5" w:rsidR="00D31E51" w:rsidRPr="00E578E0" w:rsidRDefault="00D31E51" w:rsidP="00E578E0">
      <w:pPr>
        <w:pStyle w:val="PR3"/>
      </w:pPr>
      <w:r>
        <w:t xml:space="preserve">Color: </w:t>
      </w:r>
      <w:r w:rsidR="005B2560">
        <w:t>[</w:t>
      </w:r>
      <w:r w:rsidR="005B2560" w:rsidRPr="00D31E51">
        <w:rPr>
          <w:b/>
        </w:rPr>
        <w:t>Imperial White]</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0BB0CDC2" w:rsidR="00E578E0" w:rsidRPr="0041431B" w:rsidRDefault="00D31E51" w:rsidP="00077F37">
      <w:pPr>
        <w:pStyle w:val="PR3"/>
      </w:pPr>
      <w:r>
        <w:t xml:space="preserve">Finish: </w:t>
      </w:r>
      <w:r w:rsidRPr="0041431B">
        <w:rPr>
          <w:b/>
        </w:rPr>
        <w:t xml:space="preserve">[Polyester Two-Coat System] </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17D6C9E5" w:rsidR="00D31E51" w:rsidRPr="00902FE4" w:rsidRDefault="00D31E51" w:rsidP="00D31E51">
      <w:pPr>
        <w:pStyle w:val="PR3"/>
      </w:pPr>
      <w:r>
        <w:t>Color: [</w:t>
      </w:r>
      <w:r w:rsidRPr="00D31E51">
        <w:rPr>
          <w:b/>
        </w:rPr>
        <w:t xml:space="preserve">Imperial White] </w:t>
      </w:r>
    </w:p>
    <w:p w14:paraId="1BD3A60E" w14:textId="77777777" w:rsidR="00316849" w:rsidRDefault="00316849" w:rsidP="006D628A">
      <w:pPr>
        <w:pStyle w:val="PR2"/>
        <w:jc w:val="left"/>
      </w:pPr>
      <w:r>
        <w:t>The polyisocyanurate foam core shall meet or exceed the following physical properties:</w:t>
      </w:r>
    </w:p>
    <w:p w14:paraId="21961ED6" w14:textId="25EEBCB7" w:rsidR="00316849" w:rsidRDefault="00316849" w:rsidP="006D628A">
      <w:pPr>
        <w:pStyle w:val="PR3"/>
        <w:jc w:val="left"/>
      </w:pPr>
      <w:r>
        <w:t xml:space="preserve">Compressive Strength (ASTM D1621): </w:t>
      </w:r>
      <w:r w:rsidR="007D208C">
        <w:t>14</w:t>
      </w:r>
      <w:r>
        <w:t xml:space="preserve"> PSI</w:t>
      </w:r>
    </w:p>
    <w:p w14:paraId="1729B09E" w14:textId="169CCF31" w:rsidR="00316849" w:rsidRDefault="00316849" w:rsidP="006D628A">
      <w:pPr>
        <w:pStyle w:val="PR3"/>
        <w:jc w:val="left"/>
      </w:pPr>
      <w:r>
        <w:t>Density, in-place (ASTM D1622): 2.</w:t>
      </w:r>
      <w:r w:rsidR="00FE3B53">
        <w:t>0</w:t>
      </w:r>
      <w:r>
        <w:t>0 – 2.50 PCF</w:t>
      </w:r>
    </w:p>
    <w:p w14:paraId="35694BB5" w14:textId="18C53969" w:rsidR="00316849" w:rsidRDefault="00316849" w:rsidP="006D628A">
      <w:pPr>
        <w:pStyle w:val="PR3"/>
        <w:jc w:val="left"/>
      </w:pPr>
      <w:r>
        <w:t>Shear Strength (</w:t>
      </w:r>
      <w:r w:rsidR="00612B4A">
        <w:t xml:space="preserve">ASTM C273): </w:t>
      </w:r>
      <w:r w:rsidR="00FE3B53">
        <w:t>14</w:t>
      </w:r>
      <w:r w:rsidR="00612B4A">
        <w:t xml:space="preserve"> PSI</w:t>
      </w:r>
    </w:p>
    <w:p w14:paraId="238A1BF9" w14:textId="4A11FE31" w:rsidR="00316849" w:rsidRDefault="00316849" w:rsidP="006D628A">
      <w:pPr>
        <w:pStyle w:val="PR3"/>
        <w:jc w:val="left"/>
      </w:pPr>
      <w:r>
        <w:t>Tensile Adhesion (</w:t>
      </w:r>
      <w:r w:rsidR="00612B4A">
        <w:t xml:space="preserve">ASTM D1623): </w:t>
      </w:r>
      <w:r w:rsidR="00FE3B53">
        <w:t>8.25</w:t>
      </w:r>
      <w:r w:rsidR="00612B4A">
        <w:t xml:space="preserve"> PSI</w:t>
      </w:r>
    </w:p>
    <w:p w14:paraId="045FE24C" w14:textId="2F518641" w:rsidR="00316849" w:rsidRDefault="00316849" w:rsidP="006D628A">
      <w:pPr>
        <w:pStyle w:val="PR3"/>
        <w:jc w:val="left"/>
      </w:pPr>
      <w:r>
        <w:t>Closed Cell Content</w:t>
      </w:r>
      <w:r w:rsidR="00612B4A">
        <w:t xml:space="preserve"> (ASTM D6226):  9</w:t>
      </w:r>
      <w:r w:rsidR="00637B5C">
        <w:t>1</w:t>
      </w:r>
      <w:r w:rsidR="00612B4A">
        <w:t>%</w:t>
      </w:r>
    </w:p>
    <w:p w14:paraId="59E96E1B" w14:textId="77777777" w:rsidR="00135BD9" w:rsidRPr="00533E4A" w:rsidRDefault="00135BD9" w:rsidP="00135B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lastRenderedPageBreak/>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BBD43DF" w14:textId="7CF73DB0" w:rsidR="0059131A" w:rsidRDefault="0059131A" w:rsidP="006D628A">
      <w:pPr>
        <w:pStyle w:val="EOS"/>
        <w:jc w:val="left"/>
      </w:pPr>
    </w:p>
    <w:p w14:paraId="340693B5" w14:textId="3A3F29FB" w:rsidR="0059131A" w:rsidRDefault="0059131A" w:rsidP="006D628A">
      <w:pPr>
        <w:pStyle w:val="EOS"/>
        <w:jc w:val="left"/>
      </w:pPr>
    </w:p>
    <w:p w14:paraId="243A658A" w14:textId="428FB486" w:rsidR="0059131A" w:rsidRDefault="0059131A" w:rsidP="006D628A">
      <w:pPr>
        <w:pStyle w:val="EOS"/>
        <w:jc w:val="left"/>
      </w:pPr>
    </w:p>
    <w:p w14:paraId="1E0D43FC" w14:textId="1E99638B" w:rsidR="0059131A" w:rsidRDefault="0059131A" w:rsidP="006D628A">
      <w:pPr>
        <w:pStyle w:val="EOS"/>
        <w:jc w:val="left"/>
      </w:pPr>
    </w:p>
    <w:p w14:paraId="7D8C9C1E" w14:textId="4404DF27" w:rsidR="0059131A" w:rsidRDefault="0059131A" w:rsidP="006D628A">
      <w:pPr>
        <w:pStyle w:val="EOS"/>
        <w:jc w:val="left"/>
      </w:pP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777777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3F051B0"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2</w:t>
                            </w:r>
                            <w:r w:rsidRPr="000B774A">
                              <w:rPr>
                                <w:rFonts w:ascii="Gotham Narrow Book" w:hAnsi="Gotham Narrow Book"/>
                                <w:sz w:val="20"/>
                                <w:szCs w:val="18"/>
                              </w:rPr>
                              <w:t>|4/16/2023</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777777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3F051B0"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2</w:t>
                      </w:r>
                      <w:r w:rsidRPr="000B774A">
                        <w:rPr>
                          <w:rFonts w:ascii="Gotham Narrow Book" w:hAnsi="Gotham Narrow Book"/>
                          <w:sz w:val="20"/>
                          <w:szCs w:val="18"/>
                        </w:rPr>
                        <w:t>|4/16/2023</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4C89" w14:textId="77777777" w:rsidR="00503BE9" w:rsidRDefault="00503BE9">
      <w:r>
        <w:separator/>
      </w:r>
    </w:p>
  </w:endnote>
  <w:endnote w:type="continuationSeparator" w:id="0">
    <w:p w14:paraId="4FB72F1D" w14:textId="77777777" w:rsidR="00503BE9" w:rsidRDefault="0050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59EF54B0" w:rsidR="00AF07B1" w:rsidRDefault="002F1742" w:rsidP="002F1742">
          <w:pPr>
            <w:pStyle w:val="FTR"/>
          </w:pPr>
          <w:r>
            <w:t xml:space="preserve">All Weather Insulated Panels – </w:t>
          </w:r>
          <w:r w:rsidR="00117880">
            <w:t>DM44</w:t>
          </w:r>
        </w:p>
        <w:p w14:paraId="43CBA624" w14:textId="1F89717B" w:rsidR="002F1742" w:rsidRPr="00F8540E" w:rsidRDefault="002F1742" w:rsidP="002F1742">
          <w:pPr>
            <w:pStyle w:val="FTR"/>
          </w:pPr>
          <w:r>
            <w:t xml:space="preserve">Copyright © </w:t>
          </w:r>
          <w:r w:rsidR="00E50694">
            <w:t>202</w:t>
          </w:r>
          <w:r w:rsidR="00976DE9">
            <w:t>3</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3609" w14:textId="77777777" w:rsidR="00503BE9" w:rsidRDefault="00503BE9">
      <w:r>
        <w:separator/>
      </w:r>
    </w:p>
  </w:footnote>
  <w:footnote w:type="continuationSeparator" w:id="0">
    <w:p w14:paraId="0F4B056D" w14:textId="77777777" w:rsidR="00503BE9" w:rsidRDefault="0050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4"/>
  </w:num>
  <w:num w:numId="3" w16cid:durableId="1474761518">
    <w:abstractNumId w:val="5"/>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4473C"/>
    <w:rsid w:val="0004523D"/>
    <w:rsid w:val="0004731B"/>
    <w:rsid w:val="0004771A"/>
    <w:rsid w:val="000642DE"/>
    <w:rsid w:val="000661CD"/>
    <w:rsid w:val="00076022"/>
    <w:rsid w:val="000772F6"/>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9538F"/>
    <w:rsid w:val="001A1606"/>
    <w:rsid w:val="001B2721"/>
    <w:rsid w:val="001C37E1"/>
    <w:rsid w:val="001C47CC"/>
    <w:rsid w:val="001D14C2"/>
    <w:rsid w:val="00205DF9"/>
    <w:rsid w:val="0021516C"/>
    <w:rsid w:val="0023080F"/>
    <w:rsid w:val="00243C90"/>
    <w:rsid w:val="00253B6A"/>
    <w:rsid w:val="00257635"/>
    <w:rsid w:val="00274B67"/>
    <w:rsid w:val="00277FE7"/>
    <w:rsid w:val="00291E7F"/>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907BF"/>
    <w:rsid w:val="00490875"/>
    <w:rsid w:val="004942EB"/>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E0442"/>
    <w:rsid w:val="009F35FD"/>
    <w:rsid w:val="00A1585B"/>
    <w:rsid w:val="00A30C93"/>
    <w:rsid w:val="00A43A31"/>
    <w:rsid w:val="00A51F8B"/>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06C7"/>
    <w:rsid w:val="00B71E45"/>
    <w:rsid w:val="00B748A0"/>
    <w:rsid w:val="00B878FF"/>
    <w:rsid w:val="00B90EE7"/>
    <w:rsid w:val="00BA0F83"/>
    <w:rsid w:val="00BB74A9"/>
    <w:rsid w:val="00BC1666"/>
    <w:rsid w:val="00BD1B09"/>
    <w:rsid w:val="00BD5340"/>
    <w:rsid w:val="00BE0907"/>
    <w:rsid w:val="00BE5594"/>
    <w:rsid w:val="00BE64F2"/>
    <w:rsid w:val="00C0009A"/>
    <w:rsid w:val="00C02E74"/>
    <w:rsid w:val="00C14EF2"/>
    <w:rsid w:val="00C169D7"/>
    <w:rsid w:val="00C202DD"/>
    <w:rsid w:val="00C20437"/>
    <w:rsid w:val="00C27C26"/>
    <w:rsid w:val="00C30877"/>
    <w:rsid w:val="00C35204"/>
    <w:rsid w:val="00C36CAC"/>
    <w:rsid w:val="00C42CDA"/>
    <w:rsid w:val="00C5716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C0763"/>
    <w:rsid w:val="00DC1AA8"/>
    <w:rsid w:val="00DC2828"/>
    <w:rsid w:val="00DD7124"/>
    <w:rsid w:val="00E034BB"/>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BE2"/>
    <w:rsid w:val="00EF29CA"/>
    <w:rsid w:val="00EF4833"/>
    <w:rsid w:val="00EF6C57"/>
    <w:rsid w:val="00F01F94"/>
    <w:rsid w:val="00F22350"/>
    <w:rsid w:val="00F30BC4"/>
    <w:rsid w:val="00F53223"/>
    <w:rsid w:val="00F65372"/>
    <w:rsid w:val="00F71263"/>
    <w:rsid w:val="00FA4D47"/>
    <w:rsid w:val="00FA5716"/>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5" ma:contentTypeDescription="Create a new document." ma:contentTypeScope="" ma:versionID="75dc2cb265c28f3f6c664680e887bc1e">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019958bdce7e658c3275ced410db31da"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Notes xmlns="e7962d74-da3a-4ef1-80b6-f8d0c164b508" xsi:nil="true"/>
    <Partner xmlns="e7962d74-da3a-4ef1-80b6-f8d0c164b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0E226-5AEE-4EF6-BD38-881D89442297}"/>
</file>

<file path=customXml/itemProps2.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3.xml><?xml version="1.0" encoding="utf-8"?>
<ds:datastoreItem xmlns:ds="http://schemas.openxmlformats.org/officeDocument/2006/customXml" ds:itemID="{614978E1-F95C-4119-9F40-FB362D784C04}">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4.xml><?xml version="1.0" encoding="utf-8"?>
<ds:datastoreItem xmlns:ds="http://schemas.openxmlformats.org/officeDocument/2006/customXml" ds:itemID="{DEC7C344-6525-4EB4-BEFB-27DCED8F9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2255</Words>
  <Characters>11100</Characters>
  <Application>Microsoft Office Word</Application>
  <DocSecurity>0</DocSecurity>
  <Lines>317</Lines>
  <Paragraphs>92</Paragraphs>
  <ScaleCrop>false</ScaleCrop>
  <Company>AWIP</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41</cp:revision>
  <cp:lastPrinted>2012-09-12T16:51:00Z</cp:lastPrinted>
  <dcterms:created xsi:type="dcterms:W3CDTF">2022-04-04T20:56:00Z</dcterms:created>
  <dcterms:modified xsi:type="dcterms:W3CDTF">2023-04-28T04:59:00Z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